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bookmarkStart w:id="0" w:colFirst="0" w:name="h.gjdgxs" w:colLast="0"/>
      <w:bookmarkEnd w:id="0"/>
      <w:r w:rsidRPr="00000000" w:rsidR="00000000" w:rsidDel="00000000">
        <w:rPr>
          <w:rFonts w:cs="Times New Roman" w:hAnsi="Times New Roman" w:eastAsia="Times New Roman" w:ascii="Times New Roman"/>
          <w:rtl w:val="0"/>
        </w:rPr>
        <w:t xml:space="preserve">2008 Best in Business Winners</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Overall excellence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Giant newspapers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(Average daily circulation above 325,000)</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The New York Times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Star Tribune (Minneapolis)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t>
            </w:r>
            <w:hyperlink r:id="rId5">
              <w:r w:rsidRPr="00000000" w:rsidR="00000000" w:rsidDel="00000000">
                <w:rPr>
                  <w:rFonts w:cs="Times New Roman" w:hAnsi="Times New Roman" w:eastAsia="Times New Roman" w:ascii="Times New Roman"/>
                  <w:color w:val="0000ff"/>
                  <w:u w:val="single"/>
                  <w:rtl w:val="0"/>
                </w:rPr>
                <w:t xml:space="preserve">The Washington Post</w:t>
              </w:r>
            </w:hyperlink>
            <w:r w:rsidRPr="00000000" w:rsidR="00000000" w:rsidDel="00000000">
              <w:drawing>
                <wp:inline>
                  <wp:extent cy="102235" cx="198120"/>
                  <wp:docPr id="1" name="image01.png"/>
                  <a:graphic>
                    <a:graphicData uri="http://schemas.openxmlformats.org/drawingml/2006/picture">
                      <pic:pic>
                        <pic:nvPicPr>
                          <pic:cNvPr id="0" name="image01.png"/>
                          <pic:cNvPicPr preferRelativeResize="0"/>
                        </pic:nvPicPr>
                        <pic:blipFill>
                          <a:blip r:embed="rId6"/>
                          <a:stretch>
                            <a:fillRect/>
                          </a:stretch>
                        </pic:blipFill>
                        <pic:spPr>
                          <a:xfrm>
                            <a:ext cy="102235" cx="198120"/>
                          </a:xfrm>
                          <a:prstGeom prst="rect"/>
                        </pic:spPr>
                      </pic:pic>
                    </a:graphicData>
                  </a:graphic>
                </wp:inline>
              </w:drawing>
            </w:r>
            <w:hyperlink r:id="rId7">
              <w:r w:rsidRPr="00000000" w:rsidR="00000000" w:rsidDel="00000000">
                <w:rPr>
                  <w:rtl w:val="0"/>
                </w:rPr>
              </w:r>
            </w:hyperlink>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hyperlink r:id="rId8">
              <w:r w:rsidRPr="00000000" w:rsidR="00000000" w:rsidDel="00000000">
                <w:rPr>
                  <w:rtl w:val="0"/>
                </w:rPr>
              </w:r>
            </w:hyperlink>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newspapers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(circulation from 225,000 to 325,000)</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Detroit Free Press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Rocky Mountain News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Kansas City Star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Mid-sized newspapers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(circulation from 125,000 to 225,000)</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Miami Herald</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The Grand Rapids Press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Seattle Post-Intelligencer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newspapers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(circulation under 125,000)</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Arizona Daily Star (Tucson.)</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Salt Lake Tribune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The Patriot Ledger (Quincy, MA.)</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Weekly business newspapers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Indianapolis Business Journal</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Cincinnati Business Courier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Philadelphia Business Journal</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magazines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(circulation under 500,000)</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Bloomberg Markets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magazines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(circulation 500,000 and over)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Business Week</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(up to 500,000 average monthly unique visitors)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Crain's Chicago Business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Mid-sized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(500,000-2.5 million average monthly unique visitors)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Bloomberg</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(more than 2.5 million average monthly unique visitors)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Business Week</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BNET.com</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 Petersburg Times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Business News Reporting</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Breaking News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Giant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Eric Dash, reporter; Edmund L. Andrews, reporter; Jenny Anderson, reporter; Vikas Bajaj, reporter; Andrew Ross Sorkin, reporter; Michael Barbaro, reporter; Michael J. de la Merced, reporter; Louise Story, reporter; Ben White, reporter; Floyd Norris, reporter; Gretchen Morgenson, reporter; Mary Williams Walsh, reporter; David M. Herszenhorn, reporter; Carl Hulse, reporter; Peter S. Goodman, reporter; Diana B. Henriques, reporter; and Hilda Wang, reporter, The New York Times: "Wall Street financial crisis"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Jonathan Weisman, Paul Kane, Lori Montgomery, Joel Achenbach, Ashley Surdin, Edward Cody, Mary Jordan, Steven Pearlstein, Neil Irwin, David Cho, Dan Eggen and Michael Abramowitz, Washington Post: "Wall Street's crisis lands in Washington"</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Carrick Mollenkamp, reporter; Susanne Craig, news editor; Serena Ng, reporter; Aaron Lucchetti, reporter; Matthew Karnitschnig, reporter; Dan Fitzpatrick, reporter; Deborah Solomon, reporter; Dennis K. Berman, deputy editor - Money &amp; Investing; Liam Pleven, reporter; Peter Lattman, reporter, The Wall Street Journal: "Financial crisis"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Large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Hanah Cho, reporter; Andrea Walker, reporter; Dan Thanh Dang, reporter; Jay Hancock, reporter/columnist; Jamie Smith Hopkins, reporter; Robert Little, reporter; Sumathi Reddy, reporter; Annie Linsky, reporter; Scott Calvert, reporter; Trif Alatzas, editor; Bernie Kohn, editor; Howard Libit, editor; David Nitkin, editor, The Baltimore Sun: "Buffett's Rescue - Constellation Energy sale"</w:t>
      </w:r>
    </w:p>
    <w:p w:rsidP="00000000" w:rsidRPr="00000000" w:rsidR="00000000" w:rsidDel="00000000" w:rsidRDefault="00000000">
      <w:pPr>
        <w:spacing w:lineRule="auto" w:after="100" w:line="240" w:before="100"/>
      </w:pPr>
      <w:bookmarkStart w:id="1" w:colFirst="0" w:name="h.30j0zll" w:colLast="0"/>
      <w:bookmarkEnd w:id="1"/>
      <w:r w:rsidRPr="00000000" w:rsidR="00000000" w:rsidDel="00000000">
        <w:rPr>
          <w:rFonts w:cs="Times New Roman" w:hAnsi="Times New Roman" w:eastAsia="Times New Roman" w:ascii="Times New Roman"/>
          <w:rtl w:val="0"/>
        </w:rPr>
        <w:t xml:space="preserve">Katherine Yung, staff writer; Ellen Creager, travel writer; Tim Higgins, staff writer; Brent Snavely, staff writer; Jewel Gopwani, staff writer; and Mark Phelan, columnist, Detroit Free Press: Two breaking stories in one day</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Jeremiah McWilliams, business reporter; Jeffrey Tomich, business reporter; Angela Tablac, business reporter; David Nicklaus, business columnist; Tim Logan, business reporter; Matthew Hathaway, metro reporter; Jake Wagman, metro reporter; Robert Kelly, metro reporter; Greg Jonsson, metro reporter; David Hunn, metro reporter, St. Louis Post-Dispatch: "Farewell to the King"</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Mid-sized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Rick Rothacker, Christina Rexrode, Jen Aronoff, Kerry Hall, Bill Pitzer, Elizabeth Leland, Eric Frazier, Lisa Zagaroli, Jefferson George, Doug Smith, Patrick Scott, Tony Mecia, The Charlotte Observer: "Whiplash" (Wells Fargo bid for Wachovia)</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David Shepardson, Washington bureau chief; Christine Tierney, global auto reporter; Gordon Trowbridge, Washington bureau; Alisa Priddle, Chrysler reporter; Bryce G. Hoffman, Ford reporter; Robert Snell, GM reporter; Daniel Howes, Business columnist and associate business editor, Detroit News: "Survival roadmap" (Automakers' bailout plans)</w:t>
      </w:r>
    </w:p>
    <w:p w:rsidP="00000000" w:rsidRPr="00000000" w:rsidR="00000000" w:rsidDel="00000000" w:rsidRDefault="00000000">
      <w:pPr>
        <w:spacing w:lineRule="auto" w:after="100" w:line="240" w:before="100"/>
      </w:pPr>
      <w:bookmarkStart w:id="2" w:colFirst="0" w:name="h.1fob9te" w:colLast="0"/>
      <w:bookmarkEnd w:id="2"/>
      <w:r w:rsidRPr="00000000" w:rsidR="00000000" w:rsidDel="00000000">
        <w:rPr>
          <w:rFonts w:cs="Times New Roman" w:hAnsi="Times New Roman" w:eastAsia="Times New Roman" w:ascii="Times New Roman"/>
          <w:rtl w:val="0"/>
        </w:rPr>
        <w:t xml:space="preserve">Chris O'Brien, staff writer; Pete Carey, staff writer; Vindu Goel, business columnist; Pai, graphic artist; Dean Takahashi, business columnist; Troy Wolverton, staff writer; Mark Boslet, staff writer; and Jack Davis, data analyst, San Jose Mercury News: "Will it work?" (Microsoft/Yahoo merger proposal)</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Small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Tyrone Richardson, Darryl Isherwood, Daniel Patrick Sheehan, Scott Kraus, Patrick Lester, Greg Karp, The Morning Call (Allentown, PA.): "Bulldog bolts"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Ilene Aleshire, business editor; Sherri Buri McDonald, reporter; Diane Dietz, reporter; Edward Russo, reporter; Anne Williams, reporter, Register-Guard (Eugene, OR.): "Hynix plant to shut"</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Weekly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Adam Linker, reporter; Lee Weisbecker, reporter; Amanda Jones Hoyle, reporter; and Dale Gibson, editor, Triangle Business Journal: "A troubled town"</w:t>
      </w:r>
    </w:p>
    <w:p w:rsidP="00000000" w:rsidRPr="00000000" w:rsidR="00000000" w:rsidDel="00000000" w:rsidRDefault="00000000">
      <w:pPr>
        <w:spacing w:lineRule="auto" w:after="100" w:line="240" w:before="100"/>
      </w:pPr>
      <w:bookmarkStart w:id="3" w:colFirst="0" w:name="h.3znysh7" w:colLast="0"/>
      <w:bookmarkEnd w:id="3"/>
      <w:r w:rsidRPr="00000000" w:rsidR="00000000" w:rsidDel="00000000">
        <w:rPr>
          <w:rFonts w:cs="Times New Roman" w:hAnsi="Times New Roman" w:eastAsia="Times New Roman" w:ascii="Times New Roman"/>
          <w:rtl w:val="0"/>
        </w:rPr>
        <w:t xml:space="preserve">Stephen Nellis, staff writer; Barbara Pearson, staff writer; Henry Dubroff, editor; Emily Rancer, assistant managing editor; and Ray Estrada, managing editor, Pacific Coast Business Times: "Gap Fire coverage"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Reporters Beth Braverman, Mark Bruno, Tim Catts, Marine Cole, Hilary Johnson, Matthew Monks, Neil Roland, Nicholas Rummell and Matthew Scott, Financial Week: "From crunch to crisis"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Real-time news organizations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David Baily, correspondent; Kevin Krolickie, Detroit bureau chief; Jui Chakravorty, correspondent; Poornima Gupta, correspondent; Kim Soyoung, correspondent; and Nick Carey, correspondent, Thomson Reuters America: "GM/Chrysler deal hopes rise, then shattered"</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Anupreeta Das and Michele Gershberg, correspondents, Thomson Reuters America: "Microhoo: how the Blockbuster deal blew up"</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Enterprise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Giant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Susanne Craig, news editor; Jeffrey McCracken, reporter; Aaron Lucchetti, reporter; Kate Kelly, reporter, The Wall Street Journal: "The weekend that Wall Street died"</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Thomas Farragher, editor; Scott Allen, reporter; Marcella Bombardieri, reporter; Michael Rezendes, reporter; Liz Kowalczyk, reporter; Jeffrey Krasner, reporter, The Boston Globe: "A healthcare system badly out of balance"</w:t>
      </w:r>
    </w:p>
    <w:p w:rsidP="00000000" w:rsidRPr="00000000" w:rsidR="00000000" w:rsidDel="00000000" w:rsidRDefault="00000000">
      <w:pPr>
        <w:spacing w:lineRule="auto" w:after="100" w:line="240" w:before="100"/>
      </w:pPr>
      <w:bookmarkStart w:id="4" w:colFirst="0" w:name="h.2et92p0" w:colLast="0"/>
      <w:bookmarkEnd w:id="4"/>
      <w:r w:rsidRPr="00000000" w:rsidR="00000000" w:rsidDel="00000000">
        <w:rPr>
          <w:rFonts w:cs="Times New Roman" w:hAnsi="Times New Roman" w:eastAsia="Times New Roman" w:ascii="Times New Roman"/>
          <w:rtl w:val="0"/>
        </w:rPr>
        <w:t xml:space="preserve">Binyamin Appelbaum and Ellen Nakashima, staff writers, </w:t>
      </w:r>
      <w:hyperlink r:id="rId9">
        <w:r w:rsidRPr="00000000" w:rsidR="00000000" w:rsidDel="00000000">
          <w:rPr>
            <w:rFonts w:cs="Times New Roman" w:hAnsi="Times New Roman" w:eastAsia="Times New Roman" w:ascii="Times New Roman"/>
            <w:color w:val="0000ff"/>
            <w:u w:val="single"/>
            <w:rtl w:val="0"/>
          </w:rPr>
          <w:t xml:space="preserve">The Washington Post</w:t>
        </w:r>
      </w:hyperlink>
      <w:r w:rsidRPr="00000000" w:rsidR="00000000" w:rsidDel="00000000">
        <w:drawing>
          <wp:inline>
            <wp:extent cy="102235" cx="198120"/>
            <wp:docPr id="2" name="image02.png"/>
            <a:graphic>
              <a:graphicData uri="http://schemas.openxmlformats.org/drawingml/2006/picture">
                <pic:pic>
                  <pic:nvPicPr>
                    <pic:cNvPr id="0" name="image02.png"/>
                    <pic:cNvPicPr preferRelativeResize="0"/>
                  </pic:nvPicPr>
                  <pic:blipFill>
                    <a:blip r:embed="rId10"/>
                    <a:stretch>
                      <a:fillRect/>
                    </a:stretch>
                  </pic:blipFill>
                  <pic:spPr>
                    <a:xfrm>
                      <a:ext cy="102235" cx="198120"/>
                    </a:xfrm>
                    <a:prstGeom prst="rect"/>
                  </pic:spPr>
                </pic:pic>
              </a:graphicData>
            </a:graphic>
          </wp:inline>
        </w:drawing>
      </w:r>
      <w:r w:rsidRPr="00000000" w:rsidR="00000000" w:rsidDel="00000000">
        <w:rPr>
          <w:rFonts w:cs="Times New Roman" w:hAnsi="Times New Roman" w:eastAsia="Times New Roman" w:ascii="Times New Roman"/>
          <w:rtl w:val="0"/>
        </w:rPr>
        <w:t xml:space="preserve">: "Banking regulator played advocate over enforcer"</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Tim Higgins, Detroit Free Press: "Pattern of harassment"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Andrew McIntosh, Sacramento Bee: "Nail gun safety under fire"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John Gittelsohn, The Orange County Register: "Washington Mutual funded home flippers"</w:t>
      </w:r>
    </w:p>
    <w:tbl>
      <w:tblGrid>
        <w:gridCol w:w="936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Mid-sized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Rick Rothacker, The Charlotte Observer: "The good deal that wasn't"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Bryce G. Hoffman, Detroit News: "Ford inside story"</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Jennifer Hiller, San Antonio Express-News: "On the hot seat"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Dawn House, reporter, Salt Lake Tribune: "Liquor"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bookmarkStart w:id="5" w:colFirst="0" w:name="h.tyjcwt" w:colLast="0"/>
            <w:bookmarkEnd w:id="5"/>
            <w:r w:rsidRPr="00000000" w:rsidR="00000000" w:rsidDel="00000000">
              <w:rPr>
                <w:rFonts w:cs="Times New Roman" w:hAnsi="Times New Roman" w:eastAsia="Times New Roman" w:ascii="Times New Roman"/>
                <w:rtl w:val="0"/>
              </w:rPr>
              <w:t xml:space="preserve">  Gary Pakulski, business writer, Toledo (Ohio) Blade: "Down but not out"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bookmarkStart w:id="6" w:colFirst="0" w:name="h.3dy6vkm" w:colLast="0"/>
      <w:bookmarkEnd w:id="6"/>
      <w:r w:rsidRPr="00000000" w:rsidR="00000000" w:rsidDel="00000000">
        <w:rPr>
          <w:rFonts w:cs="Times New Roman" w:hAnsi="Times New Roman" w:eastAsia="Times New Roman" w:ascii="Times New Roman"/>
          <w:rtl w:val="0"/>
        </w:rPr>
        <w:t xml:space="preserve">Kevin McCallum, staff writer, Santa Rosa (CA) Press Democrat: "For Exchange Bank, wrong time, wrong place"</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Weekly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Richard Clough, Los Angeles Business Journal: "IndyMac's last gasps"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David Sterrett, Crain's Chicago Business: "McD's eye-opener"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Bill King, Street &amp; Smith's Sports Business Journal: "Finding growth in green"</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Real-time news organizations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John Helyar, Editor-at-Large; Alison Fitzgerald, Mark Pittman and Serena Saitto, Reporters, Bloomberg News: "Ten days changed Wall Street"</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Mitch Weiss, The Associated Press: "Weak rules cripple appraiser oversight"</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Jordan Robertson, Bloomberg News: "China lets child workers die"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magazines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Richard Behar, Fast Company: "China storms Africa"</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Robert Berner, Business Week: "The watchdogs who warned us"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magazines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William Selway and Martin Z. Braun, Bloomberg Markets: "Schools flunk finance"</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Columns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Giant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Andrew Ross Sorkin, The New York Times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Steven Pearlstein, </w:t>
            </w:r>
            <w:hyperlink r:id="rId11">
              <w:r w:rsidRPr="00000000" w:rsidR="00000000" w:rsidDel="00000000">
                <w:rPr>
                  <w:rFonts w:cs="Times New Roman" w:hAnsi="Times New Roman" w:eastAsia="Times New Roman" w:ascii="Times New Roman"/>
                  <w:color w:val="0000ff"/>
                  <w:u w:val="single"/>
                  <w:rtl w:val="0"/>
                </w:rPr>
                <w:t xml:space="preserve">The Washington Post</w:t>
              </w:r>
            </w:hyperlink>
            <w:r w:rsidRPr="00000000" w:rsidR="00000000" w:rsidDel="00000000">
              <w:drawing>
                <wp:inline>
                  <wp:extent cy="102235" cx="198120"/>
                  <wp:docPr id="3" name="image00.png"/>
                  <a:graphic>
                    <a:graphicData uri="http://schemas.openxmlformats.org/drawingml/2006/picture">
                      <pic:pic>
                        <pic:nvPicPr>
                          <pic:cNvPr id="0" name="image00.png"/>
                          <pic:cNvPicPr preferRelativeResize="0"/>
                        </pic:nvPicPr>
                        <pic:blipFill>
                          <a:blip r:embed="rId12"/>
                          <a:stretch>
                            <a:fillRect/>
                          </a:stretch>
                        </pic:blipFill>
                        <pic:spPr>
                          <a:xfrm>
                            <a:ext cy="102235" cx="198120"/>
                          </a:xfrm>
                          <a:prstGeom prst="rect"/>
                        </pic:spPr>
                      </pic:pic>
                    </a:graphicData>
                  </a:graphic>
                </wp:inline>
              </w:drawing>
            </w:r>
            <w:hyperlink r:id="rId13">
              <w:r w:rsidRPr="00000000" w:rsidR="00000000" w:rsidDel="00000000">
                <w:rPr>
                  <w:rtl w:val="0"/>
                </w:rPr>
              </w:r>
            </w:hyperlink>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Gretchen Morgenson, The New York Times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David Nicklaus, St. Louis Post-Dispatch</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Al Lewis, Denver Post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Tom Walsh, Detroit Free Press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Mid-sized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Dan Haar, Hartford Courant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Mitchell Schnurman, Fort Worth Star-Telegram</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Harriet Brackey-Johnson, Sun-Sentinel (Fort Lauderdale.)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Jon Chesto, The Patriot Ledger (Quincy, MA.)</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Greg Karp, Morning Call (Allentown, PA.)</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Weekly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Greg Hinz, Crain's Chicago Business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Steve Symanovich, San Francisco Business Times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Simon Dumenco, Advertising Age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Real-time news organizations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Al Lewis, Dow Jones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Liz Pulliam Weston, MSN Money</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Jonathan Weil, Bloomberg</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Projects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Giant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bookmarkStart w:id="7" w:colFirst="0" w:name="h.1t3h5sf" w:colLast="0"/>
      <w:bookmarkEnd w:id="7"/>
      <w:r w:rsidRPr="00000000" w:rsidR="00000000" w:rsidDel="00000000">
        <w:rPr>
          <w:rFonts w:cs="Times New Roman" w:hAnsi="Times New Roman" w:eastAsia="Times New Roman" w:ascii="Times New Roman"/>
          <w:rtl w:val="0"/>
        </w:rPr>
        <w:t xml:space="preserve">Michael Hiltzik, staff writer; Lisa Girion, staff writer; Daniel Costello, former staff writer, Los Angeles Times: "Shedding risk"</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Gretchen Morgenson, reporter; Peter S. Goodman, reporter; Eric Dash, reporter; Julie Creswell, reporter; Charles Duhigg, reporter; Carter Dougherty, reporter; Jo Becker, reporter; Sheryl Gay Stolberg, reporter; Stephen Labaton, reporter; Kitty Bennett, reporter, The New York Times: "The reckoning"</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Thomas Farragher, editor; Scott Allen, reporter; Marcella Bombardieri, reporter; Michael Rezendes, reporter; Liz Kowalczyk, reporter; Jeffrey Krasner, reporter, The Boston Globe: "Partners HealthCare"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Large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Michael J. Berens and Ken Armstrong, The Seattle Times: "Culture of resistance"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Cary Spivak, investigative business reporter; Dan Bice, columnist; and Ben Poston, reporter, The Milwaukee Journal Sentinel: "Easy money"</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Fred Schulte, reporter; James Drew, reporter; and Bernie Kohn, editor, Baltimore Sun: "Hospital debt"</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Mid-sized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Ames Alexander, Kerry Hall, Franco Ordonez, John Simmons, Peter St. Onge, Ted Mellnik, Reid Creager, Rogelio Aranda, Holly Farrant, Bill Pitzer, Dave Puckett, Dave Enna, Tony Lone Fight, Marion Paynter, Maria David, Jim Walser, Gary Schwab, Mitch Weiss, Glenn Burkins and Patrick Scott, The Charlotte Observer: "The cruelest cuts"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Matthew Haggman, Rob Barry and Jack Dolan, The Miami Herald: "Borrowers betrayed"</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Christine Tierney, Detroit News, "Russian revolution"</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David Giffels, David Knox, Betty Lin-Fisher, Mark J. Price, Tracy Wheeler, Cheryl Powell, Lisa Abraham, Kim Hone-McMahan, Mary Beth Breckenridge, Bill Lilley, Katie Byard and Dennis Willard, Akron (Ohio) Beacon-Journal: "The American dream"</w:t>
      </w:r>
    </w:p>
    <w:p w:rsidP="00000000" w:rsidRPr="00000000" w:rsidR="00000000" w:rsidDel="00000000" w:rsidRDefault="00000000">
      <w:pPr>
        <w:spacing w:lineRule="auto" w:after="100" w:line="240" w:before="100"/>
      </w:pPr>
      <w:bookmarkStart w:id="8" w:colFirst="0" w:name="h.4d34og8" w:colLast="0"/>
      <w:bookmarkEnd w:id="8"/>
      <w:r w:rsidRPr="00000000" w:rsidR="00000000" w:rsidDel="00000000">
        <w:rPr>
          <w:rFonts w:cs="Times New Roman" w:hAnsi="Times New Roman" w:eastAsia="Times New Roman" w:ascii="Times New Roman"/>
          <w:rtl w:val="0"/>
        </w:rPr>
        <w:t xml:space="preserve">The Press Democrat, Kevin McCallum, staff writer, The Press Democrat (Santa Rosa, CA): "Life savings lost to fraud/The money trail"</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Steven Oberbeck, The Salt Lake Tribune: "Hidden dangers"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Weekly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bookmarkStart w:id="9" w:colFirst="0" w:name="h.2s8eyo1" w:colLast="0"/>
      <w:bookmarkEnd w:id="9"/>
      <w:r w:rsidRPr="00000000" w:rsidR="00000000" w:rsidDel="00000000">
        <w:rPr>
          <w:rFonts w:cs="Times New Roman" w:hAnsi="Times New Roman" w:eastAsia="Times New Roman" w:ascii="Times New Roman"/>
          <w:rtl w:val="0"/>
        </w:rPr>
        <w:t xml:space="preserve">Editor Bernard Dagenais; Managing Editor Dell Poncet; Design Editor John Spencer; Associate Editors Frank Devlin and Sonja Sherwood; Staff Writers Athena D. Merritt, Natalie Kostelni, Jeff Blumenthal, John George, Peter Key and Peter Van Allen, Philadelphia Business Journal: "Price of crime"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Lucy May, senior reporter, and Dan Monk, senior reporter, Cincinnati Business Courier: "Empty promise"</w:t>
      </w:r>
    </w:p>
    <w:p w:rsidP="00000000" w:rsidRPr="00000000" w:rsidR="00000000" w:rsidDel="00000000" w:rsidRDefault="00000000">
      <w:pPr>
        <w:spacing w:lineRule="auto" w:after="100" w:line="240" w:before="100"/>
      </w:pPr>
      <w:bookmarkStart w:id="10" w:colFirst="0" w:name="h.17dp8vu" w:colLast="0"/>
      <w:bookmarkEnd w:id="10"/>
      <w:r w:rsidRPr="00000000" w:rsidR="00000000" w:rsidDel="00000000">
        <w:rPr>
          <w:rFonts w:cs="Times New Roman" w:hAnsi="Times New Roman" w:eastAsia="Times New Roman" w:ascii="Times New Roman"/>
          <w:rtl w:val="0"/>
        </w:rPr>
        <w:t xml:space="preserve">Bill Orben, associate managing editor; Denise Hicks, research director; Anjali Fluker, staff writer; Dan Ping, former staff writer; Chris Kauffmann, staff writer; and Tiffany Beck, former staff writer, Orlando Business Journal: "Water woes"</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Real-time news organizations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William Selway and Martin Z. Braun, Bloomberg News: "Broken promises"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Staff, Bloomberg News: "Recipe for famine"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Eric Carvin, Associated Press Top Stories Desk editor, and AP Business Reporters Chris Rugaber, Alan Zibel, Rachel Beck, Madlen Read, Ellen Simon, David Pitt, Marcy Gordon, Mark Jewell, Marty Crutsinger, Jeannine Aversa, Janna Elphinstone, Dirk Lammers, Shaila Dani, Candice Choi, Andrew Miga, Tom Murphy, Dennis Conrad, Dave Carpenter, John Porretto, Kimberly Johnson, Vinnee Tong, Chris Bain, Deborah Yao and Joe Bel Bruno, The Associated Press: "Meltdown 101"</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Online Excellence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Breaking News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Staff of The New York Times/nytimes.com, The New York Times: "Sunday, Sept. 14"</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Small/mid-sized websites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Rick Rothacker, Christina Rexrode, Jefferson George, Kirsten Valle, Jen Aronoff, Stella M. Hopkins, Fred Clasen-Kelly, Kerry Hall, Doug Smith, Deirdre McGruder, Trevor Freeze, Tony Lone Fight, The Charlotte Observer: "Wells Fargo wins Wachovia"</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Kirsten Grind, Eric Engleman and staff, Puget Sound Business Journal: "Wamu seized by regulators and sold off"</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Reporter Andy Giegerich, Reporter Erik Siemers, Managing editor Matthew Kish, Portland Business Journal: "Freightliner closing Swan Island plant"</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Projects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Kris Hundley, Kathleen Flynn and Kainaz Amaria, St. Petersburg Times: "Testing grounds"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Reporter Louise Story; Reporter Tara Siegel Bernard; Reporter Jenny Anderson; Reporter Mark Landler; Video Journalist Matt Orr; Reporter Brad Stone; Senior Producer, Video David Rummel; Reporter Jonathan Glater; Video Journalist Emily Hager; Producer, Video Rob Harris; Producer, Video Todd Heisler; Multimedia Producer Tom Jackson; Multimedia Producer Amy O'Leary; Graphics Editor Amy Schoenfeld; Graphics Editor Amanda Cox; and Graphics Editor Matthew Bloch, The New York Times: "The debt trap"</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Assignment Editor Doug Carroll; Multimedia Producer Julia Schmalz; Senior Designer Juan Thomassie; Enterprise Editor Mindy Fetterman; Designer William Couch; Reporter Barbara De Lollis; Reporter Marilyn Adams; and Researcher Anne Carey, USA Today: "Flight cutbacks"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Mid-sized websites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John Simmons, Bill Pitzer, Tony Lone Fight, Peter Weinberger, Ames Alexander, Peter St. Onge, Franco Ordonez, Kerry Hall, The Charlotte Observer: "The cruelest cuts"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Ronald Campbell, The Orange County Register: "Lenders did booming business"</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Roberta Rampton, Thomson Reuters: "Agflation"</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Matt Carmichael, research director; Michelle Evans, associate research director; and Jeff Hartvigsen, multimedia producer, Crain's Chicago Business: "Market facts"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Ian Lamont, David Cotriss and Mark Henricks, The Industry Standard: "Where are they now?"</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Matthew Carmichael, Michelle Evans, Allison Riggio, Melissa Phee, Jeff Hartvigsen, Jennifer Fletcher and Stephen J. Serio, Crain's Chicago Business: "Best places to work in Chicago"</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Audio/Visual Reports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Gretchen Morgenson, reporter, video journalist; Matt Orr, senior producer; David Rummel, video journalist; Emily Hager, producer; Rob Harris, producer; Todd Heisler, The New York Times, "The debt trap"</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Small/Mid-sized websites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Thomas Mucha, assistant managing editor; Brandon Copple, managing editor; and Mark Scheffler, freelancer, Crain's Chicago Business: "Entrepreneurs in action"</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Blogs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Jason Gertzen and David Hayes, The Kansas City Star</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Economics Columnist David Leonhardt; Online Editor, Economics Catherine Rampell; and Web Producer R.M. Schneiderman, The New York Times</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Jeffrey Davis, Executive Editor, BNET.com</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Mid-sized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Jonathan Lansner (assisted by reporters Mary Ann Milbourn and Jeff Collins), Orange County Register</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Small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Greg Hinz, Crain's Chicago Business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Ian Lamont, TheStandard,com</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Jonathan Blum, blumsday.com</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Creative Use of Online</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Large websites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color w:val="0000ff"/>
          <w:u w:val="single"/>
          <w:rtl w:val="0"/>
        </w:rPr>
        <w:t xml:space="preserve">Download Table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Reporter Gretchen Morgenson; multimedia producer Amy O'Leary; multimedia producer Tom Jackson; senior producer, video David Rummel; graphics editor Amy Schoenfeld; graphics editor Amanda Cox; graphics editor Matthew Bloch; video journalist Emily Hager; video journalist Matt Orr; producer, video Rob Harris; producer, video Todd Heisler, The New York Times: "The debt trap"</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Glenn Hall, Editor; and Bill McCandless, executive editor, thestreet.com: "TheStreet.com mobile"</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David Pogue, technology columnist; Danielle Belopotosky, Web producer; Raymond McCrea Jones, photo producer; Sam Grobart, personal technology editor; Tom Jackson, multimedia producer; John Niedermeyer, designer and Zach Wise, lead multimedia producer, The New York Times: "Pogue-o-matic"</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Mid-sized websites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Tony Lone Fight, John Simmons, Bill Pitzer, Peter Weinberger, Ames Alexander, Franco Ordonez, Kerry Hall, Peter St. Onge, Ted Mellnik, Reid Creager, Rogelio Aranda, Holly Farrant, Dave Puckett, Dave Enna, Marion Paynter, Maria David, Jim Walser, Gary Schwab, Mitch Weiss, Glenn Burkins and Patrick Scott, The Charlotte Observer: "The cruelest cuts"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Assistant Managing Editor Ken Wheaton; Jr., Web Producer/Editor Charlie Moran and Web Products Manager Rahmin Pavlovic, Advertising Age: "Ad Age Power 150"</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Consumer Affairs reporter Sheryl Harris; online graphic artist Felesia McDonald, (Cleveland) Plain Dealer: "Scamfinders"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Small websites</w:t>
      </w:r>
    </w:p>
    <w:p w:rsidP="00000000" w:rsidRPr="00000000" w:rsidR="00000000" w:rsidDel="00000000" w:rsidRDefault="00000000">
      <w:pPr>
        <w:spacing w:lineRule="auto" w:after="100" w:line="240" w:before="100"/>
      </w:pPr>
      <w:bookmarkStart w:id="11" w:colFirst="0" w:name="h.3rdcrjn" w:colLast="0"/>
      <w:bookmarkEnd w:id="11"/>
      <w:r w:rsidRPr="00000000" w:rsidR="00000000" w:rsidDel="00000000">
        <w:rPr>
          <w:rFonts w:cs="Times New Roman" w:hAnsi="Times New Roman" w:eastAsia="Times New Roman" w:ascii="Times New Roman"/>
          <w:rtl w:val="0"/>
        </w:rPr>
        <w:t xml:space="preserve">Ian Lamont, director of product and design; Eric Hill, contributing writer; Kristen Nicole, contributing writer; and Bill Snyder, The Industry Standard: "10 'Net services that will succeed (and 10 that will probably fail)"</w:t>
      </w:r>
    </w:p>
    <w:tbl>
      <w:tblGrid>
        <w:gridCol w:w="4680"/>
        <w:gridCol w:w="4680"/>
      </w:tblGrid>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Student Contest</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rtl w:val="0"/>
              </w:rPr>
              <w:t xml:space="preserve">  For stories written for professional publications</w:t>
            </w:r>
          </w:p>
        </w:tc>
      </w:tr>
      <w:tr>
        <w:tc>
          <w:tcPr>
            <w:tcMar>
              <w:top w:w="15.0" w:type="dxa"/>
              <w:left w:w="15.0" w:type="dxa"/>
              <w:bottom w:w="15.0" w:type="dxa"/>
              <w:right w:w="15.0" w:type="dxa"/>
            </w:tcMar>
            <w:vAlign w:val="bottom"/>
          </w:tcPr>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Catarina Saralva, Triangle Business Journal: "The adult-care gap" (University of North Carolina-Chapel Hill)</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For stories written for student publications</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rtl w:val="0"/>
        </w:rPr>
        <w:t xml:space="preserve">Laura Marcinek, University of North Carolina-Chapel Hill: "Private giving could slide"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edia/image00.png" Type="http://schemas.openxmlformats.org/officeDocument/2006/relationships/image" Id="rId12"/><Relationship Target="settings.xml" Type="http://schemas.openxmlformats.org/officeDocument/2006/relationships/settings" Id="rId1"/><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13"/><Relationship Target="styles.xml" Type="http://schemas.openxmlformats.org/officeDocument/2006/relationships/styles" Id="rId4"/><Relationship Target="media/image02.png" Type="http://schemas.openxmlformats.org/officeDocument/2006/relationships/image" Id="rId10"/><Relationship Target="numbering.xml" Type="http://schemas.openxmlformats.org/officeDocument/2006/relationships/numbering" Id="rId3"/><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11"/><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9"/><Relationship Target="media/image01.png" Type="http://schemas.openxmlformats.org/officeDocument/2006/relationships/image" Id="rId6"/><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5"/><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8"/><Relationship Target="http://www.lexisnexis.com/lnacui2api/search/XMLCrossLinkSearch.do?bct=A&amp;risb=21_T17073417378&amp;returnToId=20_T17073689027&amp;csi=8054&amp;A=0.7937809365382541&amp;sourceCSI=3652&amp;indexTerm=%23CC000254Q%23&amp;searchTerm=The%20Washington%20Post&amp;indexType=C"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Best in Business Winners.docx</dc:title>
</cp:coreProperties>
</file>