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2010 Best in Business Winners</w:t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Blog: 500,000 to 2.5 million average unique monthly visitors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CBSMoneyWatch.com: “Home Equity Blog”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Blog: More than 2.5 million average unique monthly visitors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CNBC.com: “Market Insider with Patti Domm”</w:t>
        <w:br w:type="textWrapping"/>
        <w:t xml:space="preserve">Bankrate.com: “Holden Lewis’ mortgage blog”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Creative use across multiple platforms: 500,000 to 2.5 million average unique monthly visitors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GlobalPost: “Rise of the Megacities”</w:t>
        <w:br w:type="textWrapping"/>
        <w:t xml:space="preserve">CreditCards.com: “Credit Card Readability Project”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Creative use across multiple platforms: More than 2.5 million average unique monthly visitors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TheStreet.com: “The Shanghai Numbers”</w:t>
        <w:br w:type="textWrapping"/>
        <w:t xml:space="preserve">msnbc.com: “Still Made in America”</w:t>
        <w:br w:type="textWrapping"/>
        <w:t xml:space="preserve">CNNMoney: “America’s Foreclosure Crisis”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Explanatory: Fewer than 500,000 average unique monthly visitors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ClimateWire: “Gas Rush: The New Energy Frontier”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Explanatory: 500,000 to 2.5 million average unique monthly visitors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GlobalPost: “Rise of the Megacities”</w:t>
        <w:br w:type="textWrapping"/>
        <w:t xml:space="preserve">GlobalPost: “Borderland: China’s 14,000-mile Struggle”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Explanatory: More than 2.5 million average unique monthly visitors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MarketWatch: “The Nuclear Option”</w:t>
        <w:br w:type="textWrapping"/>
        <w:t xml:space="preserve">CNBC.com: “Marijuana and Money”</w:t>
        <w:br w:type="textWrapping"/>
        <w:t xml:space="preserve">Bankrate.com: “Financial Reform”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Feature: Fewer than 500,000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Bay Citizen: “Viola Fraud”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Feature: 500,000 to 2.5 million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CreditCards.com: “Money and Prison”</w:t>
        <w:br w:type="textWrapping"/>
        <w:t xml:space="preserve">GlobalPost: “India: Armed and Dangerous”</w:t>
        <w:br w:type="textWrapping"/>
        <w:t xml:space="preserve">GlobalPost: “Energy Entrepreneurs”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Feature: More than 2.5 million average unique monthly visitors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TheStreet.com: “The Pirates’ Toll”</w:t>
        <w:br w:type="textWrapping"/>
        <w:t xml:space="preserve">CNNMoney: “4G is a Myth”</w:t>
        <w:br w:type="textWrapping"/>
        <w:t xml:space="preserve">CNNMoney: “Hunting the Lion Burger Butcher”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General Excellence: 500,000 to 2.5 million average unique monthly visitors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SmartMoney.com</w:t>
        <w:br w:type="textWrapping"/>
        <w:t xml:space="preserve">CBSMoneyWatch.com</w:t>
        <w:br w:type="textWrapping"/>
        <w:t xml:space="preserve">GlobalPost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General Excellence: More than 2.5 million average unique monthly visitors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MarketWatch</w:t>
        <w:br w:type="textWrapping"/>
        <w:t xml:space="preserve">CNBC.com</w:t>
        <w:br w:type="textWrapping"/>
        <w:t xml:space="preserve">CNNMoney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Investigative: All sizes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Huffington Post Investigative Fund: “The New Taxman”</w:t>
        <w:br w:type="textWrapping"/>
        <w:t xml:space="preserve">TheStreet.com: “The Shanghai Numbers”</w:t>
        <w:br w:type="textWrapping"/>
        <w:t xml:space="preserve">msnbc.com: “The Clarks: An American Story of Wealth, Scandal and Mystery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Opinion/ Column: Less than 500,000 average unique monthly visitors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Complinet: “The Scott McCleskey Report”</w:t>
        <w:br w:type="textWrapping"/>
        <w:t xml:space="preserve">Portfolio.com: “Seat 2B Business Travel Column”</w:t>
        <w:br w:type="textWrapping"/>
        <w:t xml:space="preserve">Reuters Breakingviews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Opinion/ Column: More than 500,000 average unique monthly visitors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Motley Fool: “Out on a Limb” columns</w:t>
        <w:br w:type="textWrapping"/>
        <w:t xml:space="preserve">TheStreet.com: Adam Feuerstein’s Biotech columns</w:t>
        <w:br w:type="textWrapping"/>
        <w:t xml:space="preserve">CNNMoney: “The Buzz” by Paul La Monica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rtl w:val="0"/>
        </w:rPr>
        <w:t xml:space="preserve">International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Breaking news: All size groups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Bloomberg News: “Saving the Euro”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Creative use across multiple platforms: All size groups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GlobalPost: “Energy Entrepreneurs”</w:t>
        <w:br w:type="textWrapping"/>
        <w:t xml:space="preserve">GlobalPost: “Borderland: China’s 14,000-Mile Struggle”</w:t>
        <w:br w:type="textWrapping"/>
        <w:t xml:space="preserve">The Wall Street Journal: “Dissecting China’s Housing Market”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Explanatory: All size groups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Bloomberg Markets: “India’s Diabetes Paradox”</w:t>
        <w:br w:type="textWrapping"/>
        <w:t xml:space="preserve">The Wall Street Journal: “What They Know”</w:t>
        <w:br w:type="textWrapping"/>
        <w:t xml:space="preserve">GlobalPost: “Rise of the Megacities”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Feature: All size groups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Fortune: “Chanos vs. China”</w:t>
        <w:br w:type="textWrapping"/>
        <w:t xml:space="preserve">Bloomberg Markets: “From Russia with Cash”</w:t>
        <w:br w:type="textWrapping"/>
        <w:t xml:space="preserve">McClatchy Washington Bureau: “Unvarnished China”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Investigative: All size groups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Bloomberg Markets: “Hunting Brazil’s Tax Dodgers”</w:t>
        <w:br w:type="textWrapping"/>
        <w:t xml:space="preserve">Global Post: “Silicon Sweatshops”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Opinion/ Column: All size groups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MarketWatch: “Marsh on Mondays”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rtl w:val="0"/>
        </w:rPr>
        <w:t xml:space="preserve">News Agencies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Breaking news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Dow Jones Newswires: “Hurd’s Departure”</w:t>
        <w:br w:type="textWrapping"/>
        <w:t xml:space="preserve">Bloomberg News: “Dodging the Regulation Bullet”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Creative use across multiple platforms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Reuters: “Frontier Markets”</w:t>
        <w:br w:type="textWrapping"/>
        <w:t xml:space="preserve">Reuters: “iPad Teardown”</w:t>
        <w:br w:type="textWrapping"/>
        <w:t xml:space="preserve">Bloomberg News: “Making the Case for Diversity”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Explanatory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Bloomberg News: “Hidden Haven”</w:t>
        <w:br w:type="textWrapping"/>
        <w:t xml:space="preserve">Bloomberg News: “Medicine and Money”</w:t>
        <w:br w:type="textWrapping"/>
        <w:t xml:space="preserve">Bloomberg News: “Gold’s Affliction”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Feature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Bloomberg News: “End of Life Warning at $618,616”</w:t>
        <w:br w:type="textWrapping"/>
        <w:t xml:space="preserve">The Associated Press: “In Foreclosure, the Wrong House”</w:t>
        <w:br w:type="textWrapping"/>
        <w:t xml:space="preserve">The Associated Press: “Muni Bond Bust”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Investigative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Bloomberg News: “Hidden Havens”</w:t>
        <w:br w:type="textWrapping"/>
        <w:t xml:space="preserve">Reuters: “Wellpoint Routinely Targets Breast Cancer Patients”</w:t>
        <w:br w:type="textWrapping"/>
        <w:t xml:space="preserve">The Associated Press: “Cadmium”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Opinion/ Column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Bloomberg News: William Pesek</w:t>
        <w:br w:type="textWrapping"/>
        <w:t xml:space="preserve">Dow Jones Newswires: Al’s Emporium</w:t>
        <w:br w:type="textWrapping"/>
        <w:t xml:space="preserve">Bloomberg News: Matthew Lynn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rtl w:val="0"/>
        </w:rPr>
        <w:t xml:space="preserve">Personal Finance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All size groups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Money: “Investing in 2010”</w:t>
        <w:br w:type="textWrapping"/>
        <w:t xml:space="preserve">The Wall Street Journal: “Credit Card Tricks”</w:t>
        <w:br w:type="textWrapping"/>
        <w:t xml:space="preserve">The New York Times: “Alina Tugend Personal Finance”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rtl w:val="0"/>
        </w:rPr>
        <w:t xml:space="preserve">Print: Dailies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Blog: Dailies Sunday circulation 25,000 to 200,000 copies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Patriot Ledger (Quincy, Mass.): “Mass. Market Blog”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Blog: Dailies Sunday circulation over 200,000 and less than 500,000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Financial Times: “FT Alphaville”</w:t>
        <w:br w:type="textWrapping"/>
        <w:t xml:space="preserve">The Dallas Morning News: “Airline Biz Blog”</w:t>
        <w:br w:type="textWrapping"/>
        <w:t xml:space="preserve">The Charlotte Observer: “On the Economy”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Blog: Dailies Sunday circulation over 500,000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Houston Chronicle: “Fuel Fix Blog”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Breaking News: Dailies Sunday circulation 25,000 to 200,000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Providence Journal: “CEO Unveils a Surprise”</w:t>
        <w:br w:type="textWrapping"/>
        <w:t xml:space="preserve">Boston Herald: “TJX Layoffs”</w:t>
        <w:br w:type="textWrapping"/>
        <w:t xml:space="preserve">The Akron Beacon Journal: “Thousands Sink Funds into Akron Company”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Breaking News: Dailies Sunday circulation 200,000 to 500,000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Dallas Morning News: “Southwest Buys AirTran”</w:t>
        <w:br w:type="textWrapping"/>
        <w:t xml:space="preserve">Detroit Free Press: “Toyota’s Shocker”</w:t>
        <w:br w:type="textWrapping"/>
        <w:t xml:space="preserve">San Jose Mercury News: “Hurd resigns”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Breaking News: Dailies Sunday circulation 500,000 and over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Wall Street Journal: “Flash Crash”</w:t>
        <w:br w:type="textWrapping"/>
        <w:t xml:space="preserve">Houston Chronicle: “Oil Spill”</w:t>
        <w:br w:type="textWrapping"/>
        <w:t xml:space="preserve">The New York Times: “The SEC vs. Goldman Sachs”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Creative Use Across Multiple Platforms 25,000 to 500,000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Tennessean: “Life In Limbo”</w:t>
        <w:br w:type="textWrapping"/>
        <w:t xml:space="preserve">Las Vegas Sun: “Do No Harm: Hospital Care in Las Vegas”</w:t>
        <w:br w:type="textWrapping"/>
        <w:t xml:space="preserve">Sarasota Herald-Tribune: “Contaminated Drywall Cover-Up”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Creative Use Across Multiple Platforms over 500,000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New York Times: “You Fix the Budget”</w:t>
        <w:br w:type="textWrapping"/>
        <w:t xml:space="preserve">The New York Times: “Gulf Oil Spill”</w:t>
        <w:br w:type="textWrapping"/>
        <w:t xml:space="preserve">The Wall Street Journal: “What They Know”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Explanatory: Dailies Sunday circulation less than 100,000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Sarasota (Fla.) Herald Tribune/ProPublica: “Contaminated Drywall Coverup”</w:t>
        <w:br w:type="textWrapping"/>
        <w:t xml:space="preserve">The Register-Guard (Eugene, Ore.): “Golden Temple”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Explanatory: Dailies Sunday circulation 100,000 to 200,000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Orange County Register: “Immigrants and the California Economy”</w:t>
        <w:br w:type="textWrapping"/>
        <w:t xml:space="preserve">Honolulu Star Advertiser: “Homeless in Waikiki”</w:t>
        <w:br w:type="textWrapping"/>
        <w:t xml:space="preserve">The Detroit News: “China’s Car Boom”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Explanatory: Dailies Sunday circulation 200,000 to 500,000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Columbus Dispatch: “Green Dreams”</w:t>
        <w:br w:type="textWrapping"/>
        <w:t xml:space="preserve">The Plain Dealer, Cleveland: “Their Lives Unraveling”</w:t>
        <w:br w:type="textWrapping"/>
        <w:t xml:space="preserve">Philadelphia Inquirer: “Surviving the Storm”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Explanatory: Dailies Sunday circulation 500,000 and over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New York Times: “Payback Time”</w:t>
        <w:br w:type="textWrapping"/>
        <w:t xml:space="preserve">The Wall Street Journal: “On the Inside”</w:t>
        <w:br w:type="textWrapping"/>
        <w:t xml:space="preserve">Star Tribune (Minneapolis): “How Best Buy Got Duped”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Feature: Dailies Sunday circulation 25,000 to 100,000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Daily Press (Newport News, Va.): “Risky Business”</w:t>
        <w:br w:type="textWrapping"/>
        <w:t xml:space="preserve">Florida Today (Melbourne, Fla.): “One Family’s Impact”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Feature: Dailies Sunday circulation 100,000 to 200,000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Orange County Register: “Reversal of Fortunes”</w:t>
        <w:br w:type="textWrapping"/>
        <w:t xml:space="preserve">Honolulu Star Advertiser: Allison Schaefers</w:t>
        <w:br w:type="textWrapping"/>
        <w:t xml:space="preserve">The Virginian-Pilot (Norfolk, Va.): “Final Shift”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Feature: Dailies Sunday circulation 200,000 to 500,000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Boston Globe: “Upper Crust”</w:t>
        <w:br w:type="textWrapping"/>
        <w:t xml:space="preserve">The Seattle Times: “Dreamliner’s woes pile up”</w:t>
        <w:br w:type="textWrapping"/>
        <w:t xml:space="preserve">The Denver Post: “High-End Hustle”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Feature: Dailies Sunday circulation 500,000 and over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New York Times: “A Bully Finds a Pulpit on the Web”</w:t>
        <w:br w:type="textWrapping"/>
        <w:t xml:space="preserve">The New York Times: “Your Brain on Computers”</w:t>
        <w:br w:type="textWrapping"/>
        <w:t xml:space="preserve">Star Tribune: “A Financial Adviser’s Tragic Reckoning”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General Excellence: Dailies Sunday circulation 25,000 to 200,000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Arizona Daily Star (Tucson, Ariz.)</w:t>
        <w:br w:type="textWrapping"/>
        <w:t xml:space="preserve">The Patriot Ledger (Quincy, Mass.)</w:t>
        <w:br w:type="textWrapping"/>
        <w:t xml:space="preserve">The Times-Tribune (Scranton, Pa.)</w:t>
        <w:br w:type="textWrapping"/>
        <w:t xml:space="preserve">The Detroit News</w:t>
        <w:br w:type="textWrapping"/>
        <w:t xml:space="preserve">The Des Moines Register</w:t>
        <w:br w:type="textWrapping"/>
        <w:t xml:space="preserve">Hartford (Conn.) Courant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General Excellence: Dailies Sunday circulation 200,000 to 500,000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Boston Globe</w:t>
        <w:br w:type="textWrapping"/>
        <w:t xml:space="preserve">The Seattle Times</w:t>
        <w:br w:type="textWrapping"/>
        <w:t xml:space="preserve">The Dallas Morning News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General Excellence: Dailies Sunday circulation 500,000 and over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New York Times</w:t>
        <w:br w:type="textWrapping"/>
        <w:t xml:space="preserve">Los Angeles Times</w:t>
        <w:br w:type="textWrapping"/>
        <w:t xml:space="preserve">USA Today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Investigative: Dailies Sunday circulation 25,000 to 100,000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Sarasota (Fla.) Herald-Tribune/ProPublica: “Contaminated Drywall Cover-Up”</w:t>
        <w:br w:type="textWrapping"/>
        <w:t xml:space="preserve">Sarasota (Fla.) Herald-Tribune/ProPublica: “Florida’s Insurance Nightmare”</w:t>
        <w:br w:type="textWrapping"/>
        <w:t xml:space="preserve">American Banker: “The Trouble with Force-Placed Insurance”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Investigative: Dailies Sunday circulation 100,000 to 200,000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Las Vegas Sun: “Do No Harm: Hospital Care in Las Vegas”</w:t>
        <w:br w:type="textWrapping"/>
        <w:t xml:space="preserve">Austin American Statesman: “Semantech Leaves Austin”</w:t>
        <w:br w:type="textWrapping"/>
        <w:t xml:space="preserve">The Des Moines Register: “Egg Recall”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Investigative: Dailies Sunday circulation 200,000 to 500,000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Seattle Times: “Seniors for Sale”</w:t>
        <w:br w:type="textWrapping"/>
        <w:t xml:space="preserve">Fort Worth Star-Telegram: “SEC in Fort Worth”</w:t>
        <w:br w:type="textWrapping"/>
        <w:t xml:space="preserve">The Boston Globe: “Upper Crust”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Investigative: Dailies Sunday circulation over 500,000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Washington Post: “Alaska Native Corporations”</w:t>
        <w:br w:type="textWrapping"/>
        <w:t xml:space="preserve">Wall Street Journal: “In Medicare’s Data Trove, Clues to Curing Cost Crisis”</w:t>
        <w:br w:type="textWrapping"/>
        <w:t xml:space="preserve">New York Times: “Radiation Boom”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Opinion/ Column: Dailies Sunday circulation 25,000 to 200,000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Seattle Business magazine: Bill Virgin</w:t>
        <w:br w:type="textWrapping"/>
        <w:t xml:space="preserve">Providence Journal: John Kostrzewa</w:t>
        <w:br w:type="textWrapping"/>
        <w:t xml:space="preserve">Hartford Courant: Dan Haar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Opinion/ Column: Dailies Sunday circulation 200,000 to 500,000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Plain Dealer, Cleveland: Sheryl Harris</w:t>
        <w:br w:type="textWrapping"/>
        <w:t xml:space="preserve">Financial Times: John Gapper</w:t>
        <w:br w:type="textWrapping"/>
        <w:t xml:space="preserve">The Baltimore Sun: Jay Hancock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Opinion/ Column: Dailies Sunday circulation 500,000 and over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Houston Chronicle: Loren Steffy</w:t>
        <w:br w:type="textWrapping"/>
        <w:t xml:space="preserve">The New York Times: David Leonhardt</w:t>
        <w:br w:type="textWrapping"/>
        <w:t xml:space="preserve">The New York Times: Gretchen Morgenson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rtl w:val="0"/>
        </w:rPr>
        <w:t xml:space="preserve">Print: Magazines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Creative Use Across Multiple Platforms: All Groups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Money: “Best Places to Live”</w:t>
        <w:br w:type="textWrapping"/>
        <w:t xml:space="preserve">US Banker: “The 25 Most Powerful Women in Banking”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Explanatory: Circulation less than 500,000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Bloomberg Markets: “India’s Diabetes Paradox”</w:t>
        <w:br w:type="textWrapping"/>
        <w:t xml:space="preserve">Bloomberg Markets: “ETFs Gone Wild”</w:t>
        <w:br w:type="textWrapping"/>
        <w:t xml:space="preserve">Institutional Investor: “Inside the Machine”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Explanatory: Circulation 500,000 and over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Bloomberg BusinessWeek: “Amber Waves of Pain”</w:t>
        <w:br w:type="textWrapping"/>
        <w:t xml:space="preserve">Fortune: “Seeds of Discord”</w:t>
        <w:br w:type="textWrapping"/>
        <w:t xml:space="preserve">Money: “Health-Care Reform”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Feature: Circulation less than 75,000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Columbia Journalism Review: “Hamster Wheel”</w:t>
        <w:br w:type="textWrapping"/>
        <w:t xml:space="preserve">D CEO: “Feature on Carol Reed”</w:t>
        <w:br w:type="textWrapping"/>
        <w:t xml:space="preserve">Inside Columbia’s CEO (Columbia, Mo.): “Tech Transfer”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Feature: Circulation 75,000 to 500,000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Bloomberg Markets: “New King Coal”</w:t>
        <w:br w:type="textWrapping"/>
        <w:t xml:space="preserve">Barron’s: “Reverse Merger Stocks”</w:t>
        <w:br w:type="textWrapping"/>
        <w:t xml:space="preserve">Bloomberg Markets: “From Subprime to Satellites”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Feature: Circulation 500,000 and over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Bloomberg BusinessWeek: “How Baidu Won China”</w:t>
        <w:br w:type="textWrapping"/>
        <w:t xml:space="preserve">Fortune: “Dangerous Liaisons at IBM”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General Excellence: All Groups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Fortune</w:t>
        <w:br w:type="textWrapping"/>
        <w:t xml:space="preserve">Money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Investigative: Circulation 75,000 to 500,000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Bloomberg Markets: “Profiting from Fallen Soldiers”</w:t>
        <w:br w:type="textWrapping"/>
        <w:t xml:space="preserve">Bloomberg Markets: “Wachovia’s Drug Habit”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Investigative: Circulation 500,000 and over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Bloomberg BusinessWeek: “End of Life”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Opinion/ Column: Circulation less than 75,000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Columbia Journalism Review: “Price of Admission/ Hamster Wheel”</w:t>
        <w:br w:type="textWrapping"/>
        <w:t xml:space="preserve">Tacoma (Wash.) News Tribune: Bill Virgin columns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Opinion/ Column 500,000 and over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SmartMoney Magazine: “Common Sense”</w:t>
        <w:br w:type="textWrapping"/>
        <w:t xml:space="preserve">SmartMoney Magazine: “Tough Customer”</w:t>
        <w:br w:type="textWrapping"/>
        <w:t xml:space="preserve">Money: “Retirement Column”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rtl w:val="0"/>
        </w:rPr>
        <w:t xml:space="preserve">Print: Weeklies/ Biweeklies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Blog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Indianapolis Business Journal: “Restaurant blog”</w:t>
        <w:br w:type="textWrapping"/>
        <w:t xml:space="preserve">Crain’s New York Business: “The Markets with Aaron Elstein”</w:t>
        <w:br w:type="textWrapping"/>
        <w:t xml:space="preserve">Crain’s Chicago Business: “Shia Kapos’ ‘Taking Names’ blog”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Breaking News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Puget Sound Business Journal (Seattle, Wash.): “Deals Burn Fisher Heirs’ Fortune”</w:t>
        <w:br w:type="textWrapping"/>
        <w:t xml:space="preserve">Crain’s Detroit Business: “A&amp;P Stops Rent on Farmer Jack Spaces”</w:t>
        <w:br w:type="textWrapping"/>
        <w:t xml:space="preserve">Crain’s New York Business: “Ick! Bedbugs!”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Creative Use Across Multiple Platforms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Crain’s New York Business: 25 Anniversary Issue and Micro-site</w:t>
        <w:br w:type="textWrapping"/>
        <w:t xml:space="preserve">Crain’s Chicago Business: “40 Under 40: Making a difference in Chicago!”</w:t>
        <w:br w:type="textWrapping"/>
        <w:t xml:space="preserve">Puget Sound Business Journal (Seattle WA): WaMu coverage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Explanatory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Crain’s New York Business: “Lew Ranieri and the Road to Hell”</w:t>
        <w:br w:type="textWrapping"/>
        <w:t xml:space="preserve">Los Angeles Business Journal: “Stem Cells Take Root in Koreatown”</w:t>
        <w:br w:type="textWrapping"/>
        <w:t xml:space="preserve">Crain’s Chicago Business: “Daley By the Numbers”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Feature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Advertising Age: “Creative Exodus in Adland”</w:t>
        <w:br w:type="textWrapping"/>
        <w:t xml:space="preserve">Los Angeles Business Journal: “Cornering Downtown”</w:t>
        <w:br w:type="textWrapping"/>
        <w:t xml:space="preserve">Crain’s New York Business: “Debt Crumbles Cookie”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General Excellence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Crain’s New York Business</w:t>
        <w:br w:type="textWrapping"/>
        <w:t xml:space="preserve">Puget Sound Business Journal (Seattle, Wash.)</w:t>
        <w:br w:type="textWrapping"/>
        <w:t xml:space="preserve">Street and Smith’s SportsBusiness Journal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Investigative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Puget Sound Business Journal (Seattle, Wash.): “Seized and Sold: Inside the Hidden World of Bank Closures”</w:t>
        <w:br w:type="textWrapping"/>
        <w:t xml:space="preserve">Los Angeles Business Journal: “FirstFed’s Fault Lines”</w:t>
        <w:br w:type="textWrapping"/>
        <w:t xml:space="preserve">Pittsburgh Business Times: “Big Pharma’s Deep Pockets”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Opinion/ Column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Crain’s New York Business: “In the Markets” by Aaron Elstein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rtl w:val="0"/>
        </w:rPr>
        <w:t xml:space="preserve">Radio/ TV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Breaking News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CNBC: “Flash Crash”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Feature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CNBC: “Marijuana USA”</w:t>
        <w:br w:type="textWrapping"/>
        <w:t xml:space="preserve">CNBC: “Remington Under Fire”</w:t>
        <w:br w:type="textWrapping"/>
        <w:t xml:space="preserve">CNBC: “One Nation Overweight”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rtl w:val="0"/>
        </w:rPr>
        <w:t xml:space="preserve">Real Estate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All Size Groups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Baltimore Sun: Jamie Smith Hopkins coverage</w:t>
        <w:br w:type="textWrapping"/>
        <w:t xml:space="preserve">Detroit Free Press: Greta Guest coverage</w:t>
        <w:br w:type="textWrapping"/>
        <w:t xml:space="preserve">MarketWatch: Amy Hoak’s “Home Economics”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rtl w:val="0"/>
        </w:rPr>
        <w:t xml:space="preserve">Student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Professional publications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Theo Keith, University of Missouri: “Auto Workers” (Bloomberg News)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Student publications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Jennifer Johnson, Arizona State University: “Copper Mine Pact”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bookmarkStart w:id="0" w:colFirst="0" w:name="h.gjdgxs" w:colLast="0"/>
      <w:bookmarkEnd w:id="0"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200" w:line="276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100" w:line="240" w:before="100"/>
      <w:ind w:left="0" w:firstLine="0" w:right="0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36"/>
      <w:u w:val="none"/>
      <w:vertAlign w:val="baseline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Best in Business Winners.docx</dc:title>
</cp:coreProperties>
</file>